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宋体" w:hAnsi="宋体" w:eastAsia="宋体" w:cs="宋体"/>
          <w:i w:val="0"/>
          <w:caps w:val="0"/>
          <w:color w:val="333333"/>
          <w:spacing w:val="0"/>
          <w:sz w:val="28"/>
          <w:szCs w:val="28"/>
        </w:rPr>
      </w:pPr>
      <w:bookmarkStart w:id="0" w:name="_GoBack"/>
      <w:bookmarkEnd w:id="0"/>
      <w:r>
        <w:rPr>
          <w:rFonts w:hint="eastAsia" w:ascii="宋体" w:hAnsi="宋体" w:eastAsia="宋体" w:cs="宋体"/>
          <w:i w:val="0"/>
          <w:caps w:val="0"/>
          <w:color w:val="333333"/>
          <w:spacing w:val="0"/>
          <w:sz w:val="28"/>
          <w:szCs w:val="28"/>
          <w:shd w:val="clear" w:color="auto" w:fill="FFFFFF"/>
        </w:rPr>
        <w:t>依据专利法，发明专利申请的审批程序包括受理、初审、公布、实审以及授权五个阶段。实用新型或者外观设计专利申请在审批中不进行早期公布和实质审查，只有受理、初审和授权三个阶段。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color="auto" w:fill="FFFFFF"/>
        </w:rPr>
        <w:t>发明、实用新型和外观设计专利的申请、审查流程图如下：</w:t>
      </w:r>
    </w:p>
    <w:p>
      <w:r>
        <w:rPr>
          <w:rFonts w:ascii="宋体" w:hAnsi="宋体" w:eastAsia="宋体" w:cs="宋体"/>
          <w:sz w:val="24"/>
          <w:szCs w:val="24"/>
        </w:rPr>
        <w:drawing>
          <wp:inline distT="0" distB="0" distL="114300" distR="114300">
            <wp:extent cx="5681980" cy="5909310"/>
            <wp:effectExtent l="0" t="0" r="254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81980" cy="5909310"/>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7C6A83"/>
    <w:rsid w:val="395309A1"/>
    <w:rsid w:val="4F4073CC"/>
    <w:rsid w:val="5FD06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小小1377830391</cp:lastModifiedBy>
  <dcterms:modified xsi:type="dcterms:W3CDTF">2020-07-15T06:58:37Z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